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262626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262626"/>
          <w:kern w:val="0"/>
          <w:sz w:val="36"/>
          <w:szCs w:val="36"/>
        </w:rPr>
        <w:t>山东工程职业技术大学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262626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262626"/>
          <w:kern w:val="0"/>
          <w:sz w:val="36"/>
          <w:szCs w:val="36"/>
        </w:rPr>
        <w:t>2021年校级教学成果奖备选培育项目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1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3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111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10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701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院 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tabs>
                <w:tab w:val="left" w:pos="915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基于OBE理念的高等职业院校高等数学课程“三元素三融合”教学方法改革与实践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张  芳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>
            <w:pPr>
              <w:tabs>
                <w:tab w:val="left" w:pos="915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高职院校教师评价标准体系的构建与实施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刘  欣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高等职业教育研究院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2021-07-19T00:52:24Z</dcterms:created>
  <dc:creator>Administrator.USER-20181022OK</dc:creator>
  <cp:lastModifiedBy>硕人1419922201</cp:lastModifiedBy>
  <dcterms:modified xsi:type="dcterms:W3CDTF">2021-07-19T00:52:55Z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61BEFEA4E23C4F37963AF8D3DF93F18B</vt:lpwstr>
  </property>
</Properties>
</file>